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D73E2" w14:textId="77777777" w:rsidR="00A94F15" w:rsidRDefault="006E3939">
      <w:r>
        <w:t>Evans Memorial Hospital has no ownership interest in any joint venture, partnership, or subsidiary.</w:t>
      </w:r>
    </w:p>
    <w:p w14:paraId="51A39378" w14:textId="77777777" w:rsidR="006E3939" w:rsidRDefault="006E3939"/>
    <w:sectPr w:rsidR="006E3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39"/>
    <w:rsid w:val="00135AFA"/>
    <w:rsid w:val="006E3939"/>
    <w:rsid w:val="00A94F15"/>
    <w:rsid w:val="00E5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8E81A"/>
  <w15:chartTrackingRefBased/>
  <w15:docId w15:val="{D835C670-E1F0-4F30-AAD4-B6915610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Technologies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Wiggins</dc:creator>
  <cp:keywords/>
  <dc:description/>
  <cp:lastModifiedBy>John Wiggins</cp:lastModifiedBy>
  <cp:revision>2</cp:revision>
  <dcterms:created xsi:type="dcterms:W3CDTF">2026-09-23T17:33:00Z</dcterms:created>
  <dcterms:modified xsi:type="dcterms:W3CDTF">2026-09-23T17:33:00Z</dcterms:modified>
</cp:coreProperties>
</file>