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A2ADA" w14:textId="6E9E8B17" w:rsidR="00B26D5F" w:rsidRDefault="00C36641">
      <w:r>
        <w:t>The audited financial statements of Evans Memorial Hospital do not contain a going- concern opinion.</w:t>
      </w:r>
    </w:p>
    <w:p w14:paraId="0E8595C5" w14:textId="77777777" w:rsidR="00C36641" w:rsidRDefault="00C36641"/>
    <w:sectPr w:rsidR="00C366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41"/>
    <w:rsid w:val="005D1208"/>
    <w:rsid w:val="00A56761"/>
    <w:rsid w:val="00B26D5F"/>
    <w:rsid w:val="00C3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C173B"/>
  <w15:chartTrackingRefBased/>
  <w15:docId w15:val="{C3C6D93E-F581-4AFA-8091-5A6A032D7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6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6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6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Wiggins</dc:creator>
  <cp:keywords/>
  <dc:description/>
  <cp:lastModifiedBy>John Wiggins</cp:lastModifiedBy>
  <cp:revision>1</cp:revision>
  <dcterms:created xsi:type="dcterms:W3CDTF">2026-09-23T17:24:00Z</dcterms:created>
  <dcterms:modified xsi:type="dcterms:W3CDTF">2026-09-23T17:26:00Z</dcterms:modified>
</cp:coreProperties>
</file>